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標楷體" w:hAnsi="標楷體" w:eastAsia="標楷體"/>
          <w:sz w:val="40"/>
          <w:szCs w:val="40"/>
        </w:rPr>
      </w:pPr>
      <w:r>
        <w:rPr>
          <w:rFonts w:ascii="標楷體" w:hAnsi="標楷體" w:eastAsia="標楷體"/>
          <w:sz w:val="40"/>
          <w:szCs w:val="40"/>
        </w:rPr>
        <w:t>基隆港務分公司管理船舶船員日用品供應業者進</w:t>
      </w:r>
    </w:p>
    <w:p>
      <w:pPr>
        <w:pStyle w:val="Normal"/>
        <w:bidi w:val="0"/>
        <w:jc w:val="center"/>
        <w:rPr>
          <w:rFonts w:ascii="標楷體" w:hAnsi="標楷體" w:eastAsia="標楷體"/>
          <w:sz w:val="40"/>
          <w:szCs w:val="40"/>
        </w:rPr>
      </w:pPr>
      <w:r>
        <w:rPr>
          <w:rFonts w:ascii="標楷體" w:hAnsi="標楷體" w:eastAsia="標楷體"/>
          <w:sz w:val="40"/>
          <w:szCs w:val="40"/>
        </w:rPr>
        <w:t>港作業要點</w:t>
      </w:r>
    </w:p>
    <w:p>
      <w:pPr>
        <w:pStyle w:val="Normal"/>
        <w:bidi w:val="0"/>
        <w:jc w:val="right"/>
        <w:rPr>
          <w:rFonts w:ascii="標楷體" w:hAnsi="標楷體" w:eastAsia="標楷體"/>
          <w:sz w:val="24"/>
          <w:szCs w:val="24"/>
        </w:rPr>
      </w:pPr>
      <w:r>
        <w:rPr>
          <w:rFonts w:ascii="標楷體" w:hAnsi="標楷體" w:eastAsia="標楷體"/>
          <w:sz w:val="24"/>
          <w:szCs w:val="24"/>
        </w:rPr>
        <w:t xml:space="preserve"> </w:t>
      </w:r>
      <w:r>
        <w:rPr>
          <w:rFonts w:eastAsia="標楷體" w:ascii="標楷體" w:hAnsi="標楷體"/>
          <w:sz w:val="16"/>
          <w:szCs w:val="16"/>
        </w:rPr>
        <w:t>110</w:t>
      </w:r>
      <w:r>
        <w:rPr>
          <w:rFonts w:ascii="標楷體" w:hAnsi="標楷體" w:eastAsia="標楷體"/>
          <w:sz w:val="16"/>
          <w:szCs w:val="16"/>
        </w:rPr>
        <w:t>年</w:t>
      </w:r>
      <w:r>
        <w:rPr>
          <w:rFonts w:eastAsia="標楷體" w:ascii="標楷體" w:hAnsi="標楷體"/>
          <w:sz w:val="16"/>
          <w:szCs w:val="16"/>
        </w:rPr>
        <w:t>8</w:t>
      </w:r>
      <w:r>
        <w:rPr>
          <w:rFonts w:ascii="標楷體" w:hAnsi="標楷體" w:eastAsia="標楷體"/>
          <w:sz w:val="16"/>
          <w:szCs w:val="16"/>
        </w:rPr>
        <w:t>月</w:t>
      </w:r>
      <w:r>
        <w:rPr>
          <w:rFonts w:eastAsia="標楷體" w:ascii="標楷體" w:hAnsi="標楷體"/>
          <w:sz w:val="16"/>
          <w:szCs w:val="16"/>
        </w:rPr>
        <w:t>5</w:t>
      </w:r>
      <w:r>
        <w:rPr>
          <w:rFonts w:ascii="標楷體" w:hAnsi="標楷體" w:eastAsia="標楷體"/>
          <w:sz w:val="16"/>
          <w:szCs w:val="16"/>
        </w:rPr>
        <w:t>日基港港行字第</w:t>
      </w:r>
      <w:r>
        <w:rPr>
          <w:rFonts w:eastAsia="標楷體" w:ascii="標楷體" w:hAnsi="標楷體"/>
          <w:sz w:val="16"/>
          <w:szCs w:val="16"/>
        </w:rPr>
        <w:t>1101056448</w:t>
      </w:r>
      <w:r>
        <w:rPr>
          <w:rFonts w:ascii="標楷體" w:hAnsi="標楷體" w:eastAsia="標楷體"/>
          <w:sz w:val="16"/>
          <w:szCs w:val="16"/>
        </w:rPr>
        <w:t>號函訂定</w:t>
      </w:r>
    </w:p>
    <w:p>
      <w:pPr>
        <w:pStyle w:val="Normal"/>
        <w:numPr>
          <w:ilvl w:val="0"/>
          <w:numId w:val="1"/>
        </w:numPr>
        <w:bidi w:val="0"/>
        <w:jc w:val="left"/>
        <w:rPr>
          <w:rFonts w:ascii="標楷體" w:hAnsi="標楷體" w:eastAsia="標楷體"/>
          <w:sz w:val="24"/>
          <w:szCs w:val="24"/>
        </w:rPr>
      </w:pPr>
      <w:r>
        <w:rPr>
          <w:rFonts w:ascii="標楷體" w:hAnsi="標楷體" w:eastAsia="標楷體"/>
          <w:sz w:val="24"/>
          <w:szCs w:val="24"/>
        </w:rPr>
        <w:t>臺灣港務股份有限公司基隆港務分公司（以下簡稱本分公司）為規範船 舶船員日用品供應業者（以下簡稱業者）進出本分公司轄屬港區（以下簡稱本港區）從事供應船舶、船員及旅客所需日用品之經營行為，暨維護港區安全、作業秩序與管理之需要，特依據「臺灣港務股份有限公司管理進出港區營運業者準據」訂定本要點。</w:t>
      </w:r>
    </w:p>
    <w:p>
      <w:pPr>
        <w:pStyle w:val="Normal"/>
        <w:numPr>
          <w:ilvl w:val="0"/>
          <w:numId w:val="1"/>
        </w:numPr>
        <w:bidi w:val="0"/>
        <w:jc w:val="left"/>
        <w:rPr>
          <w:rFonts w:ascii="標楷體" w:hAnsi="標楷體" w:eastAsia="標楷體"/>
          <w:sz w:val="24"/>
          <w:szCs w:val="24"/>
        </w:rPr>
      </w:pPr>
      <w:r>
        <w:rPr>
          <w:rFonts w:ascii="標楷體" w:hAnsi="標楷體" w:eastAsia="標楷體"/>
          <w:sz w:val="24"/>
          <w:szCs w:val="24"/>
        </w:rPr>
        <w:t>業者進港從事船舶船員日用品供應業務前，須經本分公司同意始得進港工作，本分公司承辦管理單位在基隆港為港務處港務行政科，蘇澳港、臺北港，為各該營運處港務科。</w:t>
      </w:r>
    </w:p>
    <w:p>
      <w:pPr>
        <w:pStyle w:val="Normal"/>
        <w:numPr>
          <w:ilvl w:val="0"/>
          <w:numId w:val="1"/>
        </w:numPr>
        <w:bidi w:val="0"/>
        <w:jc w:val="left"/>
        <w:rPr>
          <w:rFonts w:ascii="標楷體" w:hAnsi="標楷體" w:eastAsia="標楷體"/>
          <w:sz w:val="24"/>
          <w:szCs w:val="24"/>
        </w:rPr>
      </w:pPr>
      <w:r>
        <w:rPr>
          <w:rFonts w:ascii="標楷體" w:hAnsi="標楷體" w:eastAsia="標楷體"/>
          <w:sz w:val="24"/>
          <w:szCs w:val="24"/>
        </w:rPr>
        <w:t>業者申請船舶船員日用品供應作業應於臺灣港棧服務網</w:t>
      </w:r>
      <w:r>
        <w:rPr>
          <w:rFonts w:eastAsia="標楷體" w:ascii="標楷體" w:hAnsi="標楷體"/>
          <w:sz w:val="24"/>
          <w:szCs w:val="24"/>
        </w:rPr>
        <w:t>(tpnet.twport.com.tw</w:t>
      </w:r>
      <w:r>
        <w:rPr>
          <w:rFonts w:ascii="標楷體" w:hAnsi="標楷體" w:eastAsia="標楷體"/>
          <w:sz w:val="24"/>
          <w:szCs w:val="24"/>
        </w:rPr>
        <w:t>，以下簡稱</w:t>
      </w:r>
      <w:r>
        <w:rPr>
          <w:rFonts w:eastAsia="標楷體" w:ascii="標楷體" w:hAnsi="標楷體"/>
          <w:sz w:val="24"/>
          <w:szCs w:val="24"/>
        </w:rPr>
        <w:t>TPNet)</w:t>
      </w:r>
      <w:r>
        <w:rPr>
          <w:rFonts w:ascii="標楷體" w:hAnsi="標楷體" w:eastAsia="標楷體"/>
          <w:sz w:val="24"/>
          <w:szCs w:val="24"/>
        </w:rPr>
        <w:t>採線上申辦方式辦理：</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申辦作業：業者進港運送船舶日用品作業，須逐船申報，於進港作業前至本分公司網路申辦平台「臺灣港棧服務網</w:t>
      </w:r>
      <w:r>
        <w:rPr>
          <w:rFonts w:eastAsia="標楷體" w:ascii="標楷體" w:hAnsi="標楷體"/>
          <w:sz w:val="24"/>
          <w:szCs w:val="24"/>
        </w:rPr>
        <w:t>(TPNet)</w:t>
      </w:r>
      <w:r>
        <w:rPr>
          <w:rFonts w:ascii="標楷體" w:hAnsi="標楷體" w:eastAsia="標楷體"/>
          <w:sz w:val="24"/>
          <w:szCs w:val="24"/>
        </w:rPr>
        <w:t>」，填寫「船舶日用品供應申請單」，經本分公司審核同意後，業者須視進出港區檢查單位（基隆港務警察總隊）查驗需要，提供或出示經同意之自印表單</w:t>
      </w:r>
      <w:r>
        <w:rPr>
          <w:rFonts w:eastAsia="標楷體" w:ascii="標楷體" w:hAnsi="標楷體"/>
          <w:sz w:val="24"/>
          <w:szCs w:val="24"/>
        </w:rPr>
        <w:t>(</w:t>
      </w:r>
      <w:r>
        <w:rPr>
          <w:rFonts w:ascii="標楷體" w:hAnsi="標楷體" w:eastAsia="標楷體"/>
          <w:sz w:val="24"/>
          <w:szCs w:val="24"/>
        </w:rPr>
        <w:t>如附件</w:t>
      </w:r>
      <w:r>
        <w:rPr>
          <w:rFonts w:eastAsia="標楷體" w:ascii="標楷體" w:hAnsi="標楷體"/>
          <w:sz w:val="24"/>
          <w:szCs w:val="24"/>
        </w:rPr>
        <w:t>1)</w:t>
      </w:r>
      <w:r>
        <w:rPr>
          <w:rFonts w:ascii="標楷體" w:hAnsi="標楷體" w:eastAsia="標楷體"/>
          <w:sz w:val="24"/>
          <w:szCs w:val="24"/>
        </w:rPr>
        <w:t>，辦理進出港區手續，並攜帶一份至作業現場，備供查驗。</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帳號申請：「臺灣港棧服務網</w:t>
      </w:r>
      <w:r>
        <w:rPr>
          <w:rFonts w:eastAsia="標楷體" w:ascii="標楷體" w:hAnsi="標楷體"/>
          <w:sz w:val="24"/>
          <w:szCs w:val="24"/>
        </w:rPr>
        <w:t>(TPNet)</w:t>
      </w:r>
      <w:r>
        <w:rPr>
          <w:rFonts w:ascii="標楷體" w:hAnsi="標楷體" w:eastAsia="標楷體"/>
          <w:sz w:val="24"/>
          <w:szCs w:val="24"/>
        </w:rPr>
        <w:t>」之帳號申請及相關操作說明，可至</w:t>
      </w:r>
      <w:r>
        <w:rPr>
          <w:rFonts w:eastAsia="標楷體" w:ascii="標楷體" w:hAnsi="標楷體"/>
          <w:sz w:val="24"/>
          <w:szCs w:val="24"/>
        </w:rPr>
        <w:t>https://tpnet.twport.com.tw/→</w:t>
      </w:r>
      <w:r>
        <w:rPr>
          <w:rFonts w:ascii="標楷體" w:hAnsi="標楷體" w:eastAsia="標楷體"/>
          <w:sz w:val="24"/>
          <w:szCs w:val="24"/>
        </w:rPr>
        <w:t xml:space="preserve">文件下載→帳號申請、操作手冊，瀏覽或下載申請表，由本分公司各業管單位審核通過後，執行申請 </w:t>
      </w:r>
      <w:r>
        <w:rPr>
          <w:rFonts w:eastAsia="標楷體" w:ascii="標楷體" w:hAnsi="標楷體"/>
          <w:sz w:val="24"/>
          <w:szCs w:val="24"/>
        </w:rPr>
        <w:t xml:space="preserve">TPNet </w:t>
      </w:r>
      <w:r>
        <w:rPr>
          <w:rFonts w:ascii="標楷體" w:hAnsi="標楷體" w:eastAsia="標楷體"/>
          <w:sz w:val="24"/>
          <w:szCs w:val="24"/>
        </w:rPr>
        <w:t>帳號使用。</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船舶船員日用品供應申請作業，以</w:t>
      </w:r>
      <w:r>
        <w:rPr>
          <w:rFonts w:eastAsia="標楷體" w:ascii="標楷體" w:hAnsi="標楷體"/>
          <w:sz w:val="24"/>
          <w:szCs w:val="24"/>
        </w:rPr>
        <w:t>TPnet</w:t>
      </w:r>
      <w:r>
        <w:rPr>
          <w:rFonts w:ascii="標楷體" w:hAnsi="標楷體" w:eastAsia="標楷體"/>
          <w:sz w:val="24"/>
          <w:szCs w:val="24"/>
        </w:rPr>
        <w:t>線上向本分公司承辦管理單位申請為原則，若因本分公司網路系統維護或其他特殊原因，則以「財政部關務署供應船舶</w:t>
      </w:r>
      <w:r>
        <w:rPr>
          <w:rFonts w:eastAsia="標楷體" w:ascii="標楷體" w:hAnsi="標楷體"/>
          <w:sz w:val="24"/>
          <w:szCs w:val="24"/>
        </w:rPr>
        <w:t>/</w:t>
      </w:r>
      <w:r>
        <w:rPr>
          <w:rFonts w:ascii="標楷體" w:hAnsi="標楷體" w:eastAsia="標楷體"/>
          <w:sz w:val="24"/>
          <w:szCs w:val="24"/>
        </w:rPr>
        <w:t>船員用品日用品申報表兼准單」</w:t>
      </w:r>
      <w:r>
        <w:rPr>
          <w:rFonts w:eastAsia="標楷體" w:ascii="標楷體" w:hAnsi="標楷體"/>
          <w:sz w:val="24"/>
          <w:szCs w:val="24"/>
        </w:rPr>
        <w:t>(</w:t>
      </w:r>
      <w:r>
        <w:rPr>
          <w:rFonts w:ascii="標楷體" w:hAnsi="標楷體" w:eastAsia="標楷體"/>
          <w:sz w:val="24"/>
          <w:szCs w:val="24"/>
        </w:rPr>
        <w:t>如附件</w:t>
      </w:r>
      <w:r>
        <w:rPr>
          <w:rFonts w:eastAsia="標楷體" w:ascii="標楷體" w:hAnsi="標楷體"/>
          <w:sz w:val="24"/>
          <w:szCs w:val="24"/>
        </w:rPr>
        <w:t>2)</w:t>
      </w:r>
      <w:r>
        <w:rPr>
          <w:rFonts w:ascii="標楷體" w:hAnsi="標楷體" w:eastAsia="標楷體"/>
          <w:sz w:val="24"/>
          <w:szCs w:val="24"/>
        </w:rPr>
        <w:t>書面申請，由承辦管理單位於審核各項申報資料無異議後即予簽證，受理及審核時間為上班日上午</w:t>
      </w:r>
      <w:r>
        <w:rPr>
          <w:rFonts w:eastAsia="標楷體" w:ascii="標楷體" w:hAnsi="標楷體"/>
          <w:sz w:val="24"/>
          <w:szCs w:val="24"/>
        </w:rPr>
        <w:t>8</w:t>
      </w:r>
      <w:r>
        <w:rPr>
          <w:rFonts w:ascii="標楷體" w:hAnsi="標楷體" w:eastAsia="標楷體"/>
          <w:sz w:val="24"/>
          <w:szCs w:val="24"/>
        </w:rPr>
        <w:t>時至</w:t>
      </w:r>
      <w:r>
        <w:rPr>
          <w:rFonts w:eastAsia="標楷體" w:ascii="標楷體" w:hAnsi="標楷體"/>
          <w:sz w:val="24"/>
          <w:szCs w:val="24"/>
        </w:rPr>
        <w:t>12</w:t>
      </w:r>
      <w:r>
        <w:rPr>
          <w:rFonts w:ascii="標楷體" w:hAnsi="標楷體" w:eastAsia="標楷體"/>
          <w:sz w:val="24"/>
          <w:szCs w:val="24"/>
        </w:rPr>
        <w:t>時、下午</w:t>
      </w:r>
      <w:r>
        <w:rPr>
          <w:rFonts w:eastAsia="標楷體" w:ascii="標楷體" w:hAnsi="標楷體"/>
          <w:sz w:val="24"/>
          <w:szCs w:val="24"/>
        </w:rPr>
        <w:t>1</w:t>
      </w:r>
      <w:r>
        <w:rPr>
          <w:rFonts w:ascii="標楷體" w:hAnsi="標楷體" w:eastAsia="標楷體"/>
          <w:sz w:val="24"/>
          <w:szCs w:val="24"/>
        </w:rPr>
        <w:t>時至</w:t>
      </w:r>
      <w:r>
        <w:rPr>
          <w:rFonts w:eastAsia="標楷體" w:ascii="標楷體" w:hAnsi="標楷體"/>
          <w:sz w:val="24"/>
          <w:szCs w:val="24"/>
        </w:rPr>
        <w:t>5</w:t>
      </w:r>
      <w:r>
        <w:rPr>
          <w:rFonts w:ascii="標楷體" w:hAnsi="標楷體" w:eastAsia="標楷體"/>
          <w:sz w:val="24"/>
          <w:szCs w:val="24"/>
        </w:rPr>
        <w:t>時</w:t>
      </w:r>
      <w:r>
        <w:rPr>
          <w:rFonts w:eastAsia="標楷體" w:ascii="標楷體" w:hAnsi="標楷體"/>
          <w:sz w:val="24"/>
          <w:szCs w:val="24"/>
        </w:rPr>
        <w:t>;</w:t>
      </w:r>
      <w:r>
        <w:rPr>
          <w:rFonts w:ascii="標楷體" w:hAnsi="標楷體" w:eastAsia="標楷體"/>
          <w:sz w:val="24"/>
          <w:szCs w:val="24"/>
        </w:rPr>
        <w:t>星期例假及國定假日如確因緊急需要執行船舶補給，可檢具補給船舶之港口代理證明文件，逕向本分公司監控中心或值班單位申請。</w:t>
      </w:r>
    </w:p>
    <w:p>
      <w:pPr>
        <w:pStyle w:val="Normal"/>
        <w:numPr>
          <w:ilvl w:val="0"/>
          <w:numId w:val="1"/>
        </w:numPr>
        <w:bidi w:val="0"/>
        <w:jc w:val="left"/>
        <w:rPr>
          <w:rFonts w:ascii="標楷體" w:hAnsi="標楷體" w:eastAsia="標楷體"/>
          <w:sz w:val="24"/>
          <w:szCs w:val="24"/>
        </w:rPr>
      </w:pPr>
      <w:r>
        <w:rPr>
          <w:rFonts w:ascii="標楷體" w:hAnsi="標楷體" w:eastAsia="標楷體"/>
          <w:sz w:val="24"/>
          <w:szCs w:val="24"/>
        </w:rPr>
        <w:t>港區通行證申請：港區通行證之申請除依「國際商港區域通行證申請及使用須知」規定，逕洽通行證核發單位辦理外，經本分公司同意進港工作之業者，其負責人及固定僱用之員工，申領港區通行證審核要件如下</w:t>
      </w:r>
      <w:r>
        <w:rPr>
          <w:rFonts w:eastAsia="標楷體" w:ascii="標楷體" w:hAnsi="標楷體"/>
          <w:sz w:val="24"/>
          <w:szCs w:val="24"/>
        </w:rPr>
        <w:t>:</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定期通行證：須檢具船舶船員日用品供應業之營業項目相關證明文件與加入商業公會證明文件，以認定實際從事日用品供應業而予核發定期通行證。</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臨時通行證：得憑核准之船舶船員日用品作業申請單，申辦港區臨時通行證，其有效期間同申請作業期間。</w:t>
      </w:r>
    </w:p>
    <w:p>
      <w:pPr>
        <w:pStyle w:val="Normal"/>
        <w:numPr>
          <w:ilvl w:val="0"/>
          <w:numId w:val="1"/>
        </w:numPr>
        <w:bidi w:val="0"/>
        <w:jc w:val="left"/>
        <w:rPr>
          <w:rFonts w:ascii="標楷體" w:hAnsi="標楷體" w:eastAsia="標楷體"/>
          <w:sz w:val="24"/>
          <w:szCs w:val="24"/>
        </w:rPr>
      </w:pPr>
      <w:r>
        <w:rPr>
          <w:rFonts w:ascii="標楷體" w:hAnsi="標楷體" w:eastAsia="標楷體"/>
          <w:sz w:val="24"/>
          <w:szCs w:val="24"/>
        </w:rPr>
        <w:t>進港作業注意事項</w:t>
      </w:r>
      <w:r>
        <w:rPr>
          <w:rFonts w:eastAsia="標楷體" w:ascii="標楷體" w:hAnsi="標楷體"/>
          <w:sz w:val="24"/>
          <w:szCs w:val="24"/>
        </w:rPr>
        <w:t>:</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在港船舶之送貨期限，以七日為原則，無法於期限內送貨者，須重新提出申請。</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供應對象係未向交通部航港局完成預報進港或已離港之船舶，不得申請。</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登輪作業前，業者須取得船方同意後，始得登輪，不得強行或私自登輪作業。</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業者僱用之工作人員登輪或進入碼頭作業區，須遵照商港法及職業安全衛生法令規定辦理，並負進港人員安全。</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業者進港作業所產生之廢棄物，應依本分公司「環境污染暨遺留事業廢棄物清理管理程序之規定」辦理，業者須自行清除勿隨意棄置於港區內，避免造成港區環境污染。</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業者承租本分公司倉庫或辦公室，未經契約同意，不得私自就地販售船用品。</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業者進駐自由貿易港區，運送經海關認定之「船用物品」登輪送貨者，報關後，須至「臺灣港棧服務網</w:t>
      </w:r>
      <w:r>
        <w:rPr>
          <w:rFonts w:eastAsia="標楷體" w:ascii="標楷體" w:hAnsi="標楷體"/>
          <w:sz w:val="24"/>
          <w:szCs w:val="24"/>
        </w:rPr>
        <w:t>(TPNet)</w:t>
      </w:r>
      <w:r>
        <w:rPr>
          <w:rFonts w:ascii="標楷體" w:hAnsi="標楷體" w:eastAsia="標楷體"/>
          <w:sz w:val="24"/>
          <w:szCs w:val="24"/>
        </w:rPr>
        <w:t>」申報同意，始得登輪送貨。</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業者進港運送船用品時，須攜帶海關核准文件及列印經本分公司同意之表單，接受港警查驗。</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至港外或港內錨地運送船舶需用物品者，須填記搭乘船舶之名稱，且搭乘出港之船舶，須為合格之交通船或經核准載運人、貨出港之工作船。</w:t>
      </w:r>
    </w:p>
    <w:p>
      <w:pPr>
        <w:pStyle w:val="Normal"/>
        <w:numPr>
          <w:ilvl w:val="0"/>
          <w:numId w:val="1"/>
        </w:numPr>
        <w:bidi w:val="0"/>
        <w:jc w:val="left"/>
        <w:rPr>
          <w:rFonts w:ascii="標楷體" w:hAnsi="標楷體" w:eastAsia="標楷體"/>
          <w:sz w:val="24"/>
          <w:szCs w:val="24"/>
        </w:rPr>
      </w:pPr>
      <w:r>
        <w:rPr>
          <w:rFonts w:ascii="標楷體" w:hAnsi="標楷體" w:eastAsia="標楷體"/>
          <w:sz w:val="24"/>
          <w:szCs w:val="24"/>
        </w:rPr>
        <w:t>進港作業限制</w:t>
      </w:r>
      <w:r>
        <w:rPr>
          <w:rFonts w:eastAsia="標楷體" w:ascii="標楷體" w:hAnsi="標楷體"/>
          <w:sz w:val="24"/>
          <w:szCs w:val="24"/>
        </w:rPr>
        <w:t>:</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業者已向公司或商業登記之主管機關辦妥停業一年（含）以上、歇業或不再進港經營本業者，未於期限內向本分公司申報，經本分公司查證屬實，則逕行註銷該業者之港區通行證，並不得從事相關港區補給業務。</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業者進入本港區供應之船用品，以海關同意報驗出口之船舶需用物品為限，不得私自夾帶販售。</w:t>
      </w:r>
    </w:p>
    <w:p>
      <w:pPr>
        <w:pStyle w:val="Normal"/>
        <w:numPr>
          <w:ilvl w:val="1"/>
          <w:numId w:val="1"/>
        </w:numPr>
        <w:bidi w:val="0"/>
        <w:ind w:left="1417" w:right="0" w:hanging="680"/>
        <w:jc w:val="left"/>
        <w:rPr>
          <w:rFonts w:ascii="標楷體" w:hAnsi="標楷體" w:eastAsia="標楷體"/>
          <w:sz w:val="24"/>
          <w:szCs w:val="24"/>
        </w:rPr>
      </w:pPr>
      <w:r>
        <w:rPr>
          <w:rFonts w:ascii="標楷體" w:hAnsi="標楷體" w:eastAsia="標楷體"/>
          <w:sz w:val="24"/>
          <w:szCs w:val="24"/>
        </w:rPr>
        <w:t>本分公司基於維護港區安全、作業秩序與管理之需要，業者或其僱用人員進港作業之行為，違反下列各項規定者，停止業者進港營業一個月：</w:t>
      </w:r>
    </w:p>
    <w:p>
      <w:pPr>
        <w:pStyle w:val="Normal"/>
        <w:numPr>
          <w:ilvl w:val="0"/>
          <w:numId w:val="0"/>
        </w:numPr>
        <w:tabs>
          <w:tab w:val="clear" w:pos="420"/>
          <w:tab w:val="left" w:pos="2205" w:leader="none"/>
        </w:tabs>
        <w:bidi w:val="0"/>
        <w:ind w:left="0" w:right="0" w:hanging="0"/>
        <w:jc w:val="left"/>
        <w:rPr>
          <w:rFonts w:ascii="標楷體" w:hAnsi="標楷體" w:eastAsia="標楷體"/>
        </w:rPr>
      </w:pPr>
      <w:r>
        <w:rPr>
          <w:rFonts w:ascii="標楷體" w:hAnsi="標楷體" w:eastAsia="標楷體"/>
          <w:sz w:val="24"/>
          <w:szCs w:val="24"/>
        </w:rPr>
        <w:t xml:space="preserve">       </w:t>
      </w:r>
      <w:r>
        <w:rPr>
          <w:rFonts w:eastAsia="標楷體" w:ascii="標楷體" w:hAnsi="標楷體"/>
          <w:sz w:val="24"/>
          <w:szCs w:val="24"/>
        </w:rPr>
        <w:t>1.</w:t>
      </w:r>
      <w:r>
        <w:rPr>
          <w:rFonts w:ascii="標楷體" w:hAnsi="標楷體" w:eastAsia="標楷體"/>
          <w:sz w:val="24"/>
          <w:szCs w:val="24"/>
        </w:rPr>
        <w:t>未經船長同意私自登輪或拒絕下船，經主管機關查獲移送司法機關偵辦者。</w:t>
      </w:r>
    </w:p>
    <w:p>
      <w:pPr>
        <w:pStyle w:val="Normal"/>
        <w:numPr>
          <w:ilvl w:val="0"/>
          <w:numId w:val="0"/>
        </w:numPr>
        <w:tabs>
          <w:tab w:val="clear" w:pos="420"/>
          <w:tab w:val="left" w:pos="2205" w:leader="none"/>
        </w:tabs>
        <w:bidi w:val="0"/>
        <w:ind w:left="0" w:right="0" w:hanging="0"/>
        <w:jc w:val="left"/>
        <w:rPr>
          <w:rFonts w:ascii="標楷體" w:hAnsi="標楷體" w:eastAsia="標楷體"/>
        </w:rPr>
      </w:pPr>
      <w:r>
        <w:rPr>
          <w:rFonts w:ascii="標楷體" w:hAnsi="標楷體" w:eastAsia="標楷體"/>
          <w:sz w:val="24"/>
          <w:szCs w:val="24"/>
        </w:rPr>
        <w:t xml:space="preserve">       </w:t>
      </w:r>
      <w:r>
        <w:rPr>
          <w:rFonts w:eastAsia="標楷體" w:ascii="標楷體" w:hAnsi="標楷體"/>
          <w:sz w:val="24"/>
          <w:szCs w:val="24"/>
        </w:rPr>
        <w:t>2.</w:t>
      </w:r>
      <w:r>
        <w:rPr>
          <w:rFonts w:ascii="標楷體" w:hAnsi="標楷體" w:eastAsia="標楷體"/>
          <w:sz w:val="24"/>
          <w:szCs w:val="24"/>
        </w:rPr>
        <w:t>超出本分公司同意之營業範圍。</w:t>
      </w:r>
      <w:r>
        <w:rPr>
          <w:rFonts w:eastAsia="標楷體" w:ascii="標楷體" w:hAnsi="標楷體"/>
          <w:sz w:val="24"/>
          <w:szCs w:val="24"/>
        </w:rPr>
        <w:br/>
        <w:t xml:space="preserve">       3.</w:t>
      </w:r>
      <w:r>
        <w:rPr>
          <w:rFonts w:ascii="標楷體" w:hAnsi="標楷體" w:eastAsia="標楷體"/>
          <w:sz w:val="24"/>
          <w:szCs w:val="24"/>
        </w:rPr>
        <w:t>竊盜、偷渡或走私，經主管機關查獲移送司法機關偵辦者。</w:t>
      </w:r>
      <w:r>
        <w:rPr>
          <w:rFonts w:eastAsia="標楷體" w:ascii="標楷體" w:hAnsi="標楷體"/>
          <w:sz w:val="24"/>
          <w:szCs w:val="24"/>
        </w:rPr>
        <w:br/>
        <w:t xml:space="preserve">       4.</w:t>
      </w:r>
      <w:r>
        <w:rPr>
          <w:rFonts w:ascii="標楷體" w:hAnsi="標楷體" w:eastAsia="標楷體"/>
          <w:sz w:val="24"/>
          <w:szCs w:val="24"/>
        </w:rPr>
        <w:t>收受、私藏、購買、代銷、私自夾帶販售或私運違禁品、管制物品、廢品，         經主管機關查獲行政處分確定或移送司法機關偵辦者。</w:t>
      </w:r>
      <w:r>
        <w:rPr>
          <w:rFonts w:eastAsia="標楷體" w:ascii="標楷體" w:hAnsi="標楷體"/>
          <w:sz w:val="24"/>
          <w:szCs w:val="24"/>
        </w:rPr>
        <w:br/>
        <w:t xml:space="preserve">       5.</w:t>
      </w:r>
      <w:r>
        <w:rPr>
          <w:rFonts w:ascii="標楷體" w:hAnsi="標楷體" w:eastAsia="標楷體"/>
          <w:sz w:val="24"/>
          <w:szCs w:val="24"/>
        </w:rPr>
        <w:t>公司或商業已辦妥轉讓或變更登記，未於期限內向本分公司報備，經通知</w:t>
      </w:r>
      <w:r>
        <w:rPr>
          <w:rFonts w:eastAsia="標楷體" w:ascii="標楷體" w:hAnsi="標楷體"/>
          <w:sz w:val="24"/>
          <w:szCs w:val="24"/>
        </w:rPr>
        <w:br/>
        <w:t xml:space="preserve">         </w:t>
      </w:r>
      <w:r>
        <w:rPr>
          <w:rFonts w:ascii="標楷體" w:hAnsi="標楷體" w:eastAsia="標楷體"/>
          <w:sz w:val="24"/>
          <w:szCs w:val="24"/>
        </w:rPr>
        <w:t>限期補報，逾期仍未申報者。</w:t>
      </w:r>
      <w:r>
        <w:rPr>
          <w:rFonts w:eastAsia="標楷體" w:ascii="標楷體" w:hAnsi="標楷體"/>
          <w:sz w:val="24"/>
          <w:szCs w:val="24"/>
        </w:rPr>
        <w:br/>
        <w:t xml:space="preserve">       6.</w:t>
      </w:r>
      <w:r>
        <w:rPr>
          <w:rFonts w:ascii="標楷體" w:hAnsi="標楷體" w:eastAsia="標楷體"/>
          <w:sz w:val="24"/>
          <w:szCs w:val="24"/>
        </w:rPr>
        <w:t>受處分停止營業期間，仍進入港區繼續營業者。</w:t>
      </w:r>
      <w:r>
        <w:rPr>
          <w:rFonts w:eastAsia="標楷體" w:ascii="標楷體" w:hAnsi="標楷體"/>
          <w:sz w:val="24"/>
          <w:szCs w:val="24"/>
        </w:rPr>
        <w:br/>
        <w:t xml:space="preserve">       7.</w:t>
      </w:r>
      <w:r>
        <w:rPr>
          <w:rFonts w:ascii="標楷體" w:hAnsi="標楷體" w:eastAsia="標楷體"/>
          <w:sz w:val="24"/>
          <w:szCs w:val="24"/>
        </w:rPr>
        <w:t>業者進港洽公、比價或運送船用品時，在港區發生爭吵鬥毆，經港務警察</w:t>
      </w:r>
      <w:r>
        <w:rPr>
          <w:rFonts w:eastAsia="標楷體" w:ascii="標楷體" w:hAnsi="標楷體"/>
          <w:sz w:val="24"/>
          <w:szCs w:val="24"/>
        </w:rPr>
        <w:br/>
        <w:t xml:space="preserve">         </w:t>
      </w:r>
      <w:r>
        <w:rPr>
          <w:rFonts w:ascii="標楷體" w:hAnsi="標楷體" w:eastAsia="標楷體"/>
          <w:sz w:val="24"/>
          <w:szCs w:val="24"/>
        </w:rPr>
        <w:t>總隊以行為人（嫌疑人）移送司法機關偵辦者。</w:t>
      </w:r>
      <w:r>
        <w:rPr>
          <w:rFonts w:eastAsia="標楷體" w:ascii="標楷體" w:hAnsi="標楷體"/>
          <w:sz w:val="24"/>
          <w:szCs w:val="24"/>
        </w:rPr>
        <w:br/>
        <w:t xml:space="preserve">       8.</w:t>
      </w:r>
      <w:r>
        <w:rPr>
          <w:rFonts w:ascii="標楷體" w:hAnsi="標楷體" w:eastAsia="標楷體"/>
          <w:sz w:val="24"/>
          <w:szCs w:val="24"/>
        </w:rPr>
        <w:t>業者承租本分公司倉庫或辦公室，未經契約同意，私自就地販售船用品，</w:t>
      </w:r>
      <w:r>
        <w:rPr>
          <w:rFonts w:eastAsia="標楷體" w:ascii="標楷體" w:hAnsi="標楷體"/>
          <w:sz w:val="24"/>
          <w:szCs w:val="24"/>
        </w:rPr>
        <w:br/>
        <w:t xml:space="preserve">         </w:t>
      </w:r>
      <w:r>
        <w:rPr>
          <w:rFonts w:ascii="標楷體" w:hAnsi="標楷體" w:eastAsia="標楷體"/>
          <w:sz w:val="24"/>
          <w:szCs w:val="24"/>
        </w:rPr>
        <w:t>經通知限期改善，仍未改善者。</w:t>
      </w:r>
      <w:r>
        <w:rPr>
          <w:rFonts w:eastAsia="標楷體" w:ascii="標楷體" w:hAnsi="標楷體"/>
          <w:sz w:val="24"/>
          <w:szCs w:val="24"/>
        </w:rPr>
        <w:br/>
        <w:t xml:space="preserve">       9.</w:t>
      </w:r>
      <w:r>
        <w:rPr>
          <w:rFonts w:ascii="標楷體" w:hAnsi="標楷體" w:eastAsia="標楷體"/>
          <w:sz w:val="24"/>
          <w:szCs w:val="24"/>
        </w:rPr>
        <w:t>於港區違反法令規定或本公司訂定之管理規定者。</w:t>
      </w:r>
      <w:r>
        <w:br w:type="page"/>
      </w:r>
    </w:p>
    <w:p>
      <w:pPr>
        <w:pStyle w:val="Normal"/>
        <w:numPr>
          <w:ilvl w:val="0"/>
          <w:numId w:val="0"/>
        </w:numPr>
        <w:tabs>
          <w:tab w:val="clear" w:pos="420"/>
          <w:tab w:val="left" w:pos="2205" w:leader="none"/>
        </w:tabs>
        <w:bidi w:val="0"/>
        <w:ind w:left="0" w:right="0" w:hanging="0"/>
        <w:jc w:val="left"/>
        <w:rPr>
          <w:rFonts w:ascii="標楷體" w:hAnsi="標楷體" w:eastAsia="標楷體"/>
          <w:sz w:val="32"/>
          <w:szCs w:val="32"/>
        </w:rPr>
      </w:pPr>
      <w:r>
        <w:rPr>
          <w:rFonts w:ascii="標楷體" w:hAnsi="標楷體" w:eastAsia="標楷體"/>
          <w:sz w:val="28"/>
          <w:szCs w:val="32"/>
        </w:rPr>
        <w:t>進港送貨案件經本分公司同意後輸出之樣張</w:t>
      </w:r>
      <w:r>
        <w:rPr>
          <w:rFonts w:eastAsia="標楷體" w:ascii="標楷體" w:hAnsi="標楷體"/>
          <w:sz w:val="32"/>
          <w:szCs w:val="32"/>
        </w:rPr>
        <w:t>(</w:t>
      </w:r>
      <w:r>
        <w:rPr>
          <w:rFonts w:ascii="標楷體" w:hAnsi="標楷體" w:eastAsia="標楷體"/>
          <w:sz w:val="28"/>
          <w:szCs w:val="32"/>
        </w:rPr>
        <w:t>附件一</w:t>
      </w:r>
      <w:r>
        <w:rPr>
          <w:rFonts w:eastAsia="標楷體" w:ascii="標楷體" w:hAnsi="標楷體"/>
          <w:sz w:val="32"/>
          <w:szCs w:val="32"/>
        </w:rPr>
        <w:t>)</w:t>
      </w:r>
    </w:p>
    <w:p>
      <w:pPr>
        <w:pStyle w:val="Normal"/>
        <w:numPr>
          <w:ilvl w:val="0"/>
          <w:numId w:val="0"/>
        </w:numPr>
        <w:tabs>
          <w:tab w:val="clear" w:pos="420"/>
          <w:tab w:val="left" w:pos="2205" w:leader="none"/>
        </w:tabs>
        <w:bidi w:val="0"/>
        <w:ind w:left="0" w:right="0" w:hanging="0"/>
        <w:jc w:val="left"/>
        <w:rPr>
          <w:rFonts w:ascii="標楷體" w:hAnsi="標楷體" w:eastAsia="標楷體"/>
          <w:sz w:val="32"/>
          <w:szCs w:val="32"/>
        </w:rPr>
      </w:pPr>
      <w:r>
        <w:rPr>
          <w:rFonts w:eastAsia="標楷體" w:ascii="標楷體" w:hAnsi="標楷體"/>
          <w:sz w:val="32"/>
          <w:szCs w:val="32"/>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580380" cy="4705350"/>
            <wp:effectExtent l="0" t="0" r="0" b="0"/>
            <wp:wrapSquare wrapText="largest"/>
            <wp:docPr id="1" name="影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影像1" descr=""/>
                    <pic:cNvPicPr>
                      <a:picLocks noChangeAspect="1" noChangeArrowheads="1"/>
                    </pic:cNvPicPr>
                  </pic:nvPicPr>
                  <pic:blipFill>
                    <a:blip r:embed="rId2"/>
                    <a:stretch>
                      <a:fillRect/>
                    </a:stretch>
                  </pic:blipFill>
                  <pic:spPr bwMode="auto">
                    <a:xfrm>
                      <a:off x="0" y="0"/>
                      <a:ext cx="5580380" cy="4705350"/>
                    </a:xfrm>
                    <a:prstGeom prst="rect">
                      <a:avLst/>
                    </a:prstGeom>
                  </pic:spPr>
                </pic:pic>
              </a:graphicData>
            </a:graphic>
          </wp:anchor>
        </w:drawing>
      </w:r>
      <w:r>
        <w:br w:type="page"/>
      </w:r>
    </w:p>
    <w:p>
      <w:pPr>
        <w:pStyle w:val="Normal"/>
        <w:tabs>
          <w:tab w:val="clear" w:pos="420"/>
          <w:tab w:val="left" w:pos="405" w:leader="none"/>
        </w:tabs>
        <w:bidi w:val="0"/>
        <w:ind w:left="0" w:right="0" w:hanging="0"/>
        <w:jc w:val="left"/>
        <w:rPr>
          <w:rFonts w:ascii="標楷體" w:hAnsi="標楷體" w:eastAsia="標楷體"/>
          <w:sz w:val="32"/>
          <w:szCs w:val="32"/>
        </w:rPr>
      </w:pPr>
      <w:r>
        <w:rPr>
          <w:rFonts w:ascii="標楷體" w:hAnsi="標楷體" w:eastAsia="標楷體"/>
          <w:sz w:val="28"/>
          <w:szCs w:val="32"/>
        </w:rPr>
        <w:t>財政部關務署供應船舶</w:t>
      </w:r>
      <w:r>
        <w:rPr>
          <w:rFonts w:eastAsia="標楷體" w:ascii="標楷體" w:hAnsi="標楷體"/>
          <w:sz w:val="32"/>
          <w:szCs w:val="32"/>
        </w:rPr>
        <w:t>/</w:t>
      </w:r>
      <w:r>
        <w:rPr>
          <w:rFonts w:ascii="標楷體" w:hAnsi="標楷體" w:eastAsia="標楷體"/>
          <w:sz w:val="28"/>
          <w:szCs w:val="32"/>
        </w:rPr>
        <w:t>船員用品日用品申報表兼准單樣張</w:t>
      </w:r>
      <w:r>
        <w:rPr>
          <w:rFonts w:eastAsia="標楷體" w:ascii="標楷體" w:hAnsi="標楷體"/>
          <w:sz w:val="32"/>
          <w:szCs w:val="32"/>
        </w:rPr>
        <w:t>(</w:t>
      </w:r>
      <w:r>
        <w:rPr>
          <w:rFonts w:ascii="標楷體" w:hAnsi="標楷體" w:eastAsia="標楷體"/>
          <w:sz w:val="28"/>
          <w:szCs w:val="32"/>
        </w:rPr>
        <w:t>附件二</w:t>
      </w:r>
      <w:r>
        <w:rPr>
          <w:rFonts w:eastAsia="標楷體" w:ascii="標楷體" w:hAnsi="標楷體"/>
          <w:sz w:val="32"/>
          <w:szCs w:val="32"/>
        </w:rPr>
        <w:t>)</w:t>
      </w:r>
    </w:p>
    <w:p>
      <w:pPr>
        <w:pStyle w:val="Normal"/>
        <w:tabs>
          <w:tab w:val="clear" w:pos="420"/>
          <w:tab w:val="left" w:pos="405" w:leader="none"/>
        </w:tabs>
        <w:bidi w:val="0"/>
        <w:ind w:left="0" w:right="0" w:hanging="0"/>
        <w:jc w:val="left"/>
        <w:rPr>
          <w:rFonts w:ascii="標楷體" w:hAnsi="標楷體" w:eastAsia="標楷體"/>
          <w:sz w:val="32"/>
          <w:szCs w:val="32"/>
        </w:rPr>
      </w:pPr>
      <w:r>
        <w:rPr>
          <w:rFonts w:eastAsia="標楷體" w:ascii="標楷體" w:hAnsi="標楷體"/>
          <w:sz w:val="32"/>
          <w:szCs w:val="32"/>
        </w:rPr>
        <w:drawing>
          <wp:anchor behindDoc="0" distT="0" distB="0" distL="0" distR="0" simplePos="0" locked="0" layoutInCell="0" allowOverlap="1" relativeHeight="3">
            <wp:simplePos x="0" y="0"/>
            <wp:positionH relativeFrom="column">
              <wp:posOffset>69850</wp:posOffset>
            </wp:positionH>
            <wp:positionV relativeFrom="paragraph">
              <wp:posOffset>66675</wp:posOffset>
            </wp:positionV>
            <wp:extent cx="5450205" cy="7937500"/>
            <wp:effectExtent l="0" t="0" r="0" b="0"/>
            <wp:wrapSquare wrapText="largest"/>
            <wp:docPr id="2" name="影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影像2" descr=""/>
                    <pic:cNvPicPr>
                      <a:picLocks noChangeAspect="1" noChangeArrowheads="1"/>
                    </pic:cNvPicPr>
                  </pic:nvPicPr>
                  <pic:blipFill>
                    <a:blip r:embed="rId3"/>
                    <a:stretch>
                      <a:fillRect/>
                    </a:stretch>
                  </pic:blipFill>
                  <pic:spPr bwMode="auto">
                    <a:xfrm>
                      <a:off x="0" y="0"/>
                      <a:ext cx="5450205" cy="7937500"/>
                    </a:xfrm>
                    <a:prstGeom prst="rect">
                      <a:avLst/>
                    </a:prstGeom>
                  </pic:spPr>
                </pic:pic>
              </a:graphicData>
            </a:graphic>
          </wp:anchor>
        </w:drawing>
      </w:r>
    </w:p>
    <w:sectPr>
      <w:type w:val="nextPage"/>
      <w:pgSz w:w="11906" w:h="16838"/>
      <w:pgMar w:left="1701" w:right="1417" w:gutter="0" w:header="0" w:top="1417" w:footer="0" w:bottom="141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taiwaneseCountingThousand"/>
      <w:lvlText w:val="%1、"/>
      <w:lvlJc w:val="left"/>
      <w:pPr>
        <w:tabs>
          <w:tab w:val="num" w:pos="720"/>
        </w:tabs>
        <w:ind w:left="720" w:hanging="360"/>
      </w:pPr>
    </w:lvl>
    <w:lvl w:ilvl="1">
      <w:start w:val="1"/>
      <w:numFmt w:val="taiwaneseCountingThousand"/>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taiwaneseCountingThousand"/>
      <w:lvlText w:val="%4、"/>
      <w:lvlJc w:val="left"/>
      <w:pPr>
        <w:tabs>
          <w:tab w:val="num" w:pos="1800"/>
        </w:tabs>
        <w:ind w:left="1800" w:hanging="360"/>
      </w:pPr>
    </w:lvl>
    <w:lvl w:ilvl="4">
      <w:start w:val="1"/>
      <w:numFmt w:val="taiwaneseCountingThousand"/>
      <w:lvlText w:val="%5、"/>
      <w:lvlJc w:val="left"/>
      <w:pPr>
        <w:tabs>
          <w:tab w:val="num" w:pos="2160"/>
        </w:tabs>
        <w:ind w:left="2160" w:hanging="360"/>
      </w:pPr>
    </w:lvl>
    <w:lvl w:ilvl="5">
      <w:start w:val="1"/>
      <w:numFmt w:val="taiwaneseCountingThousand"/>
      <w:lvlText w:val="%6、"/>
      <w:lvlJc w:val="left"/>
      <w:pPr>
        <w:tabs>
          <w:tab w:val="num" w:pos="2520"/>
        </w:tabs>
        <w:ind w:left="2520" w:hanging="360"/>
      </w:pPr>
    </w:lvl>
    <w:lvl w:ilvl="6">
      <w:start w:val="1"/>
      <w:numFmt w:val="taiwaneseCountingThousand"/>
      <w:lvlText w:val="%7、"/>
      <w:lvlJc w:val="left"/>
      <w:pPr>
        <w:tabs>
          <w:tab w:val="num" w:pos="2880"/>
        </w:tabs>
        <w:ind w:left="2880" w:hanging="360"/>
      </w:pPr>
    </w:lvl>
    <w:lvl w:ilvl="7">
      <w:start w:val="1"/>
      <w:numFmt w:val="taiwaneseCountingThousand"/>
      <w:lvlText w:val="%8、"/>
      <w:lvlJc w:val="left"/>
      <w:pPr>
        <w:tabs>
          <w:tab w:val="num" w:pos="3240"/>
        </w:tabs>
        <w:ind w:left="3240" w:hanging="360"/>
      </w:pPr>
    </w:lvl>
    <w:lvl w:ilvl="8">
      <w:start w:val="1"/>
      <w:numFmt w:val="taiwaneseCountingThousand"/>
      <w:lvlText w:val="%9、"/>
      <w:lvlJc w:val="left"/>
      <w:pPr>
        <w:tabs>
          <w:tab w:val="num" w:pos="3600"/>
        </w:tabs>
        <w:ind w:left="3600" w:hanging="360"/>
      </w:p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4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kern w:val="2"/>
        <w:sz w:val="24"/>
        <w:szCs w:val="24"/>
        <w:lang w:val="en-US" w:eastAsia="zh-TW"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eastAsia="標楷體" w:ascii="Liberation Serif" w:hAnsi="Liberation Serif" w:cs="Lucida Sans"/>
      <w:color w:val="auto"/>
      <w:kern w:val="2"/>
      <w:sz w:val="24"/>
      <w:szCs w:val="24"/>
      <w:lang w:val="en-US" w:eastAsia="zh-TW" w:bidi="hi-IN"/>
    </w:rPr>
  </w:style>
  <w:style w:type="paragraph" w:styleId="Style14">
    <w:name w:val="標題"/>
    <w:basedOn w:val="Normal"/>
    <w:next w:val="Style15"/>
    <w:qFormat/>
    <w:pPr>
      <w:keepNext w:val="true"/>
      <w:spacing w:before="240" w:after="120"/>
    </w:pPr>
    <w:rPr>
      <w:rFonts w:ascii="Liberation Sans" w:hAnsi="Liberation Sans" w:eastAsia="微軟正黑體" w:cs="Lucida 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Style19">
    <w:name w:val="表格內容"/>
    <w:basedOn w:val="Normal"/>
    <w:qFormat/>
    <w:pPr>
      <w:suppressLineNumbers/>
    </w:pPr>
    <w:rPr/>
  </w:style>
  <w:style w:type="paragraph" w:styleId="Style20">
    <w:name w:val="表格標題"/>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LibreOffice/7.5.4.2$Windows_X86_64 LibreOffice_project/36ccfdc35048b057fd9854c757a8b67ec53977b6</Application>
  <AppVersion>15.0000</AppVersion>
  <Pages>4</Pages>
  <Words>2020</Words>
  <Characters>2121</Characters>
  <CharactersWithSpaces>2234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2021-07-12T09:42:02Z</dcterms:created>
  <dc:creator>林 婕茹</dc:creator>
  <dc:description/>
  <dc:language>zh-TW</dc:language>
  <cp:lastModifiedBy>林 婕茹</cp:lastModifiedBy>
  <dcterms:modified xsi:type="dcterms:W3CDTF">2021-08-04T17:45:20Z</dcterms:modified>
  <cp:revision>10</cp:revision>
  <dc:subject/>
  <dc:title/>
</cp:coreProperties>
</file>